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E62D1" w:rsidRDefault="008E62D1" w:rsidP="00C46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C46C4F" w:rsidRPr="00C6469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                                            Ольгинский  </w:t>
      </w:r>
      <w:r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                                             Чистоозерного  </w:t>
      </w:r>
      <w:r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C46C4F" w:rsidSect="00C46C4F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60733">
              <w:rPr>
                <w:color w:val="000000"/>
                <w:szCs w:val="28"/>
                <w:lang w:eastAsia="ru-RU"/>
              </w:rPr>
              <w:t>п</w:t>
            </w:r>
            <w:proofErr w:type="spellEnd"/>
            <w:proofErr w:type="gramEnd"/>
            <w:r w:rsidRPr="00A60733">
              <w:rPr>
                <w:color w:val="000000"/>
                <w:szCs w:val="28"/>
                <w:lang w:eastAsia="ru-RU"/>
              </w:rPr>
              <w:t>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FC2823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2018</w:t>
            </w:r>
            <w:r w:rsidR="00C46C4F">
              <w:rPr>
                <w:color w:val="000000"/>
                <w:szCs w:val="28"/>
                <w:lang w:eastAsia="ru-RU"/>
              </w:rPr>
              <w:t>год</w:t>
            </w:r>
          </w:p>
        </w:tc>
      </w:tr>
      <w:tr w:rsidR="00C46C4F" w:rsidRPr="00A60733" w:rsidTr="00C46C4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700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д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11166</w:t>
            </w:r>
          </w:p>
        </w:tc>
      </w:tr>
      <w:tr w:rsidR="00C46C4F" w:rsidRPr="00A60733" w:rsidTr="00C46C4F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</w:t>
            </w:r>
          </w:p>
          <w:p w:rsidR="00C46C4F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  <w:p w:rsidR="00C46C4F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  <w:p w:rsidR="00C46C4F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  <w:p w:rsidR="00C46C4F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1184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398,7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spellStart"/>
            <w:r w:rsidRPr="00A60733">
              <w:rPr>
                <w:color w:val="000000"/>
                <w:szCs w:val="28"/>
                <w:lang w:eastAsia="ru-RU"/>
              </w:rPr>
              <w:t>Сельхозугодья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-в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9549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3225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1814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1376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прочие (СПТУ,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агроснаб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1B49D7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1B49D7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Общая площадь земельных участков, находящихся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1B49D7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44656A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>
              <w:rPr>
                <w:color w:val="000000"/>
                <w:szCs w:val="28"/>
                <w:highlight w:val="yellow"/>
                <w:lang w:eastAsia="ru-RU"/>
              </w:rPr>
              <w:t>0,3175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FC2823">
              <w:rPr>
                <w:color w:val="000000"/>
                <w:szCs w:val="28"/>
                <w:lang w:eastAsia="ru-RU"/>
              </w:rPr>
              <w:t>64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FC2823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FC2823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</w:t>
            </w:r>
            <w:r w:rsidR="008A42E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  <w:r w:rsidR="008A42E3"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FC2823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FC2823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FC2823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8A42E3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8E62D1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  <w:r w:rsidR="0003432C"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C46C4F" w:rsidRPr="006F1951" w:rsidTr="00C46C4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6F1951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6F1951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6F1951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6F1951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Незастроенные территории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–в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земли, пригодные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для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</w:t>
            </w:r>
          </w:p>
        </w:tc>
      </w:tr>
      <w:tr w:rsidR="00C46C4F" w:rsidRPr="00A60733" w:rsidTr="00C46C4F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</w:t>
            </w:r>
            <w:r w:rsidR="008A42E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  <w:r w:rsidR="00592FA3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1,003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603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2</w:t>
            </w:r>
            <w:r w:rsidR="00592FA3"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3</w:t>
            </w:r>
          </w:p>
        </w:tc>
      </w:tr>
      <w:tr w:rsidR="00C46C4F" w:rsidRPr="00E56025" w:rsidTr="00C46C4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A60733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70563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8E62D1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E56025" w:rsidTr="00C46C4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26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км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56025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21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51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190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</w:t>
            </w:r>
            <w:r w:rsidR="00592FA3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</w:t>
            </w:r>
            <w:r w:rsidR="00592FA3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592FA3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806AA2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806AA2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ФАПов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8E62D1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5,5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учреждений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культурно-досугового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8E62D1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86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3406D8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8E62D1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Нуждающиеся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8E62D1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6,2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0,084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E94A3C" w:rsidTr="00C46C4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2253C1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14600</w:t>
            </w:r>
          </w:p>
        </w:tc>
      </w:tr>
      <w:tr w:rsidR="00C46C4F" w:rsidRPr="00E94A3C" w:rsidTr="00C46C4F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E94A3C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5052</w:t>
            </w:r>
          </w:p>
        </w:tc>
      </w:tr>
      <w:tr w:rsidR="00C46C4F" w:rsidRPr="00A60733" w:rsidTr="00C46C4F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r w:rsidR="003406D8">
              <w:rPr>
                <w:color w:val="000000"/>
                <w:szCs w:val="28"/>
                <w:lang w:eastAsia="ru-RU"/>
              </w:rPr>
              <w:t>967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3406D8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C46C4F" w:rsidRPr="00A60733" w:rsidTr="00C46C4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Расходы местного бюджета – </w:t>
            </w:r>
            <w:r>
              <w:rPr>
                <w:bCs/>
                <w:color w:val="000000"/>
                <w:szCs w:val="28"/>
                <w:lang w:eastAsia="ru-RU"/>
              </w:rPr>
              <w:t>в</w:t>
            </w:r>
            <w:r w:rsidRPr="00A60733">
              <w:rPr>
                <w:bCs/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на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5064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3406D8">
              <w:rPr>
                <w:color w:val="000000"/>
                <w:szCs w:val="28"/>
                <w:lang w:eastAsia="ru-RU"/>
              </w:rPr>
              <w:t>468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188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491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</w:t>
            </w:r>
            <w:r w:rsidR="003406D8">
              <w:rPr>
                <w:color w:val="000000"/>
                <w:szCs w:val="28"/>
                <w:lang w:eastAsia="ru-RU"/>
              </w:rPr>
              <w:t>57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  <w:r w:rsidR="003406D8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</w:t>
            </w:r>
            <w:proofErr w:type="gramStart"/>
            <w:r w:rsidRPr="00A60733">
              <w:rPr>
                <w:bCs/>
                <w:color w:val="000000"/>
                <w:szCs w:val="28"/>
                <w:lang w:eastAsia="ru-RU"/>
              </w:rPr>
              <w:t xml:space="preserve"> (-), </w:t>
            </w:r>
            <w:proofErr w:type="spellStart"/>
            <w:proofErr w:type="gramEnd"/>
            <w:r w:rsidRPr="00A60733">
              <w:rPr>
                <w:bCs/>
                <w:color w:val="000000"/>
                <w:szCs w:val="28"/>
                <w:lang w:eastAsia="ru-RU"/>
              </w:rPr>
              <w:t>профицит</w:t>
            </w:r>
            <w:proofErr w:type="spellEnd"/>
            <w:r w:rsidRPr="00A60733">
              <w:rPr>
                <w:bCs/>
                <w:color w:val="000000"/>
                <w:szCs w:val="28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3406D8">
              <w:rPr>
                <w:color w:val="000000"/>
                <w:szCs w:val="28"/>
                <w:lang w:eastAsia="ru-RU"/>
              </w:rPr>
              <w:t>94</w:t>
            </w:r>
          </w:p>
        </w:tc>
      </w:tr>
      <w:tr w:rsidR="00C46C4F" w:rsidRPr="00A60733" w:rsidTr="00C46C4F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94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C46C4F" w:rsidRPr="00A60733" w:rsidTr="00C46C4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C46C4F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C4F" w:rsidRPr="00A60733" w:rsidRDefault="003406D8" w:rsidP="00C46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94</w:t>
            </w:r>
          </w:p>
        </w:tc>
      </w:tr>
    </w:tbl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>Глава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>Ольгинского сельсовета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>Чистоозерного района</w:t>
      </w:r>
    </w:p>
    <w:p w:rsidR="00C46C4F" w:rsidRDefault="00C46C4F" w:rsidP="00C46C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>Новосибирской области                                        И.Е. Васильева</w:t>
      </w:r>
    </w:p>
    <w:p w:rsidR="00D97DC1" w:rsidRDefault="00D97DC1"/>
    <w:sectPr w:rsidR="00D97DC1" w:rsidSect="00C46C4F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F8E" w:rsidRDefault="00D45F8E" w:rsidP="00F85C66">
      <w:pPr>
        <w:spacing w:after="0" w:line="240" w:lineRule="auto"/>
      </w:pPr>
      <w:r>
        <w:separator/>
      </w:r>
    </w:p>
  </w:endnote>
  <w:endnote w:type="continuationSeparator" w:id="0">
    <w:p w:rsidR="00D45F8E" w:rsidRDefault="00D45F8E" w:rsidP="00F8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F8E" w:rsidRDefault="00D45F8E" w:rsidP="00F85C66">
      <w:pPr>
        <w:spacing w:after="0" w:line="240" w:lineRule="auto"/>
      </w:pPr>
      <w:r>
        <w:separator/>
      </w:r>
    </w:p>
  </w:footnote>
  <w:footnote w:type="continuationSeparator" w:id="0">
    <w:p w:rsidR="00D45F8E" w:rsidRDefault="00D45F8E" w:rsidP="00F8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F8E" w:rsidRPr="002D6715" w:rsidRDefault="00BA5DC6" w:rsidP="00C46C4F">
    <w:pPr>
      <w:pStyle w:val="a9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D45F8E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2253C1">
      <w:rPr>
        <w:noProof/>
        <w:sz w:val="20"/>
        <w:szCs w:val="20"/>
      </w:rPr>
      <w:t>4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C4F"/>
    <w:rsid w:val="00004C95"/>
    <w:rsid w:val="0000757D"/>
    <w:rsid w:val="000175DF"/>
    <w:rsid w:val="0003432C"/>
    <w:rsid w:val="00083B6D"/>
    <w:rsid w:val="000B615E"/>
    <w:rsid w:val="00137292"/>
    <w:rsid w:val="00155E50"/>
    <w:rsid w:val="00183531"/>
    <w:rsid w:val="001C14B4"/>
    <w:rsid w:val="001C5B4B"/>
    <w:rsid w:val="00204935"/>
    <w:rsid w:val="002253C1"/>
    <w:rsid w:val="00260FF3"/>
    <w:rsid w:val="0027427D"/>
    <w:rsid w:val="002766A0"/>
    <w:rsid w:val="002C440F"/>
    <w:rsid w:val="00313F9D"/>
    <w:rsid w:val="003200DC"/>
    <w:rsid w:val="00334832"/>
    <w:rsid w:val="003406D8"/>
    <w:rsid w:val="00350B01"/>
    <w:rsid w:val="00395453"/>
    <w:rsid w:val="003E73F6"/>
    <w:rsid w:val="0040174D"/>
    <w:rsid w:val="004258F4"/>
    <w:rsid w:val="00434CC9"/>
    <w:rsid w:val="00455AB7"/>
    <w:rsid w:val="004D0A15"/>
    <w:rsid w:val="00592FA3"/>
    <w:rsid w:val="005B0262"/>
    <w:rsid w:val="00625F6C"/>
    <w:rsid w:val="00667FC7"/>
    <w:rsid w:val="006A4C79"/>
    <w:rsid w:val="00705638"/>
    <w:rsid w:val="00733A87"/>
    <w:rsid w:val="00774F97"/>
    <w:rsid w:val="00794EF4"/>
    <w:rsid w:val="007A3D51"/>
    <w:rsid w:val="007E3659"/>
    <w:rsid w:val="00876C9C"/>
    <w:rsid w:val="008852F3"/>
    <w:rsid w:val="008A42E3"/>
    <w:rsid w:val="008E62D1"/>
    <w:rsid w:val="0090508D"/>
    <w:rsid w:val="00983021"/>
    <w:rsid w:val="009D36C6"/>
    <w:rsid w:val="00A17B90"/>
    <w:rsid w:val="00A3126C"/>
    <w:rsid w:val="00A32A12"/>
    <w:rsid w:val="00A34CFF"/>
    <w:rsid w:val="00A673C5"/>
    <w:rsid w:val="00A7268E"/>
    <w:rsid w:val="00A91121"/>
    <w:rsid w:val="00AB40F8"/>
    <w:rsid w:val="00AB59A1"/>
    <w:rsid w:val="00AC1BE0"/>
    <w:rsid w:val="00AF2F3C"/>
    <w:rsid w:val="00B07732"/>
    <w:rsid w:val="00B57DD3"/>
    <w:rsid w:val="00B57DD4"/>
    <w:rsid w:val="00B72CEC"/>
    <w:rsid w:val="00BA5DC6"/>
    <w:rsid w:val="00C46C4F"/>
    <w:rsid w:val="00CB29DD"/>
    <w:rsid w:val="00CB36AA"/>
    <w:rsid w:val="00CC230A"/>
    <w:rsid w:val="00CD1784"/>
    <w:rsid w:val="00D14F13"/>
    <w:rsid w:val="00D25D4F"/>
    <w:rsid w:val="00D31FF4"/>
    <w:rsid w:val="00D45F8E"/>
    <w:rsid w:val="00D62882"/>
    <w:rsid w:val="00D97DC1"/>
    <w:rsid w:val="00DC4272"/>
    <w:rsid w:val="00DF0BF3"/>
    <w:rsid w:val="00F85C66"/>
    <w:rsid w:val="00FA7046"/>
    <w:rsid w:val="00FC2823"/>
    <w:rsid w:val="00FD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4F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C46C4F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6C4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C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6C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C46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6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C46C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46C4F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C46C4F"/>
    <w:rPr>
      <w:i/>
      <w:iCs/>
    </w:rPr>
  </w:style>
  <w:style w:type="character" w:customStyle="1" w:styleId="a6">
    <w:name w:val="Текст выноски Знак"/>
    <w:basedOn w:val="a0"/>
    <w:link w:val="a7"/>
    <w:uiPriority w:val="99"/>
    <w:semiHidden/>
    <w:rsid w:val="00C46C4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C46C4F"/>
    <w:pPr>
      <w:spacing w:after="0" w:line="240" w:lineRule="auto"/>
    </w:pPr>
    <w:rPr>
      <w:rFonts w:ascii="Tahoma" w:hAnsi="Tahoma"/>
      <w:sz w:val="16"/>
      <w:szCs w:val="16"/>
    </w:rPr>
  </w:style>
  <w:style w:type="paragraph" w:styleId="a8">
    <w:name w:val="List Paragraph"/>
    <w:basedOn w:val="a"/>
    <w:uiPriority w:val="34"/>
    <w:qFormat/>
    <w:rsid w:val="00C46C4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46C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46C4F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C46C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46C4F"/>
    <w:rPr>
      <w:rFonts w:ascii="Times New Roman" w:eastAsia="Calibri" w:hAnsi="Times New Roman" w:cs="Times New Roman"/>
      <w:sz w:val="28"/>
    </w:rPr>
  </w:style>
  <w:style w:type="character" w:styleId="ad">
    <w:name w:val="Strong"/>
    <w:uiPriority w:val="22"/>
    <w:qFormat/>
    <w:rsid w:val="00C46C4F"/>
    <w:rPr>
      <w:b/>
      <w:bCs/>
    </w:rPr>
  </w:style>
  <w:style w:type="paragraph" w:customStyle="1" w:styleId="ConsPlusTitle">
    <w:name w:val="ConsPlusTitle"/>
    <w:uiPriority w:val="99"/>
    <w:rsid w:val="00C46C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C46C4F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C46C4F"/>
  </w:style>
  <w:style w:type="paragraph" w:styleId="3">
    <w:name w:val="Body Text 3"/>
    <w:basedOn w:val="a"/>
    <w:link w:val="30"/>
    <w:unhideWhenUsed/>
    <w:rsid w:val="00C46C4F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46C4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HTML">
    <w:name w:val="HTML Текст"/>
    <w:uiPriority w:val="99"/>
    <w:rsid w:val="00C46C4F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C46C4F"/>
    <w:rPr>
      <w:rFonts w:cs="Times New Roman"/>
      <w:b/>
      <w:bCs/>
      <w:color w:val="000080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C46C4F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C46C4F"/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C46C4F"/>
    <w:rPr>
      <w:b/>
      <w:bCs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C46C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8</cp:revision>
  <dcterms:created xsi:type="dcterms:W3CDTF">2019-06-05T05:06:00Z</dcterms:created>
  <dcterms:modified xsi:type="dcterms:W3CDTF">2019-06-14T03:15:00Z</dcterms:modified>
</cp:coreProperties>
</file>