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495"/>
        <w:gridCol w:w="459"/>
        <w:gridCol w:w="4077"/>
      </w:tblGrid>
      <w:tr w:rsidR="005B756B">
        <w:trPr>
          <w:trHeight w:val="5244"/>
        </w:trPr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756B" w:rsidRPr="008F1C08" w:rsidRDefault="005B756B">
            <w:pPr>
              <w:jc w:val="center"/>
              <w:rPr>
                <w:rFonts w:eastAsia="Calibri"/>
                <w:b/>
              </w:rPr>
            </w:pPr>
          </w:p>
          <w:p w:rsidR="005B756B" w:rsidRPr="008F1C08" w:rsidRDefault="005B756B">
            <w:pPr>
              <w:jc w:val="center"/>
              <w:rPr>
                <w:rFonts w:eastAsia="Calibri"/>
                <w:b/>
                <w:sz w:val="8"/>
                <w:szCs w:val="8"/>
              </w:rPr>
            </w:pPr>
          </w:p>
          <w:p w:rsidR="005B756B" w:rsidRPr="008F1C08" w:rsidRDefault="005B756B" w:rsidP="008F1C08">
            <w:pPr>
              <w:jc w:val="both"/>
              <w:rPr>
                <w:rFonts w:eastAsia="Calibri"/>
                <w:b/>
              </w:rPr>
            </w:pP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</w:t>
            </w:r>
            <w:bookmarkStart w:id="0" w:name="_GoBack"/>
            <w:bookmarkEnd w:id="0"/>
            <w:r w:rsidRPr="008F1C08">
              <w:rPr>
                <w:rFonts w:eastAsia="Calibri"/>
                <w:b/>
              </w:rPr>
              <w:t>бучение для товаропроизводителей – «Бренды Новосибирской области: стратегия продвижения 2025».</w:t>
            </w: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</w:p>
          <w:p w:rsidR="008F1C08" w:rsidRPr="008F1C08" w:rsidRDefault="008F1C08" w:rsidP="008F1C0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756B" w:rsidRDefault="005B756B">
            <w:pPr>
              <w:rPr>
                <w:rFonts w:ascii="Calibri" w:eastAsia="Calibri" w:hAnsi="Calibri"/>
              </w:rPr>
            </w:pPr>
          </w:p>
        </w:tc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756B" w:rsidRDefault="005B756B">
            <w:pPr>
              <w:ind w:left="563"/>
              <w:jc w:val="center"/>
            </w:pPr>
          </w:p>
          <w:p w:rsidR="005B756B" w:rsidRDefault="005B756B">
            <w:pPr>
              <w:ind w:left="563"/>
              <w:jc w:val="center"/>
            </w:pPr>
          </w:p>
        </w:tc>
      </w:tr>
    </w:tbl>
    <w:p w:rsidR="005B756B" w:rsidRDefault="005B756B">
      <w:pPr>
        <w:shd w:val="clear" w:color="auto" w:fill="FFFFFF"/>
        <w:ind w:firstLine="709"/>
        <w:jc w:val="both"/>
        <w:rPr>
          <w:color w:val="262626"/>
        </w:rPr>
      </w:pPr>
    </w:p>
    <w:p w:rsidR="005B756B" w:rsidRDefault="00E07BE0">
      <w:pPr>
        <w:shd w:val="clear" w:color="auto" w:fill="FFFFFF"/>
        <w:ind w:firstLine="709"/>
        <w:jc w:val="both"/>
        <w:rPr>
          <w:color w:val="262626"/>
        </w:rPr>
      </w:pPr>
      <w:r>
        <w:t>Мини</w:t>
      </w:r>
      <w:r>
        <w:t xml:space="preserve">стерство промышленности, торговли и развития предпринимательства Новосибирской области информирует Вас, что 9 декабря 2024 года </w:t>
      </w:r>
      <w:r>
        <w:rPr>
          <w:color w:val="262626"/>
        </w:rPr>
        <w:t xml:space="preserve">с 10:00 до 18:00 </w:t>
      </w:r>
      <w:r>
        <w:t>в Центре «Мой бизнес» (г. Новосибирск, ул. Сибревкома, 9) будет проводится  практикоориентированное обучение</w:t>
      </w:r>
      <w:r>
        <w:rPr>
          <w:color w:val="262626"/>
        </w:rPr>
        <w:t xml:space="preserve"> дл</w:t>
      </w:r>
      <w:r>
        <w:rPr>
          <w:color w:val="262626"/>
        </w:rPr>
        <w:t>я местных товаропроизводителей – «Бренды Новосибирской области: стратегия продвижения 2025».</w:t>
      </w:r>
    </w:p>
    <w:p w:rsidR="005B756B" w:rsidRDefault="00E07BE0">
      <w:pPr>
        <w:shd w:val="clear" w:color="auto" w:fill="FFFFFF"/>
        <w:ind w:firstLine="709"/>
        <w:jc w:val="both"/>
        <w:rPr>
          <w:color w:val="262626"/>
        </w:rPr>
      </w:pPr>
      <w:r>
        <w:rPr>
          <w:color w:val="262626"/>
        </w:rPr>
        <w:t xml:space="preserve">Организатор мероприятия – центр «Мой бизнес» при поддержке </w:t>
      </w:r>
      <w:r>
        <w:rPr>
          <w:color w:val="262626"/>
        </w:rPr>
        <w:t>министерства промышленности, торговли и развития предпринимательства Новосибирской области.</w:t>
      </w:r>
    </w:p>
    <w:p w:rsidR="005B756B" w:rsidRDefault="00E07BE0">
      <w:pPr>
        <w:shd w:val="clear" w:color="auto" w:fill="FFFFFF"/>
        <w:ind w:firstLine="709"/>
        <w:jc w:val="both"/>
      </w:pPr>
      <w:r>
        <w:t>Цель програм</w:t>
      </w:r>
      <w:r>
        <w:t>мы: дать локальным товаропроизводителям понимание тенденций развития рынка FMCG, улучшить их управленческие и маркетинговые навыки, а также помочь в разработке эффективной стратегии развития бизнеса для повышения его конкурентоспособности и устойчивости.</w:t>
      </w:r>
    </w:p>
    <w:p w:rsidR="005B756B" w:rsidRDefault="00E07BE0">
      <w:pPr>
        <w:keepNext/>
        <w:shd w:val="clear" w:color="auto" w:fill="FFFFFF"/>
        <w:ind w:firstLine="709"/>
        <w:jc w:val="both"/>
        <w:rPr>
          <w:color w:val="262626"/>
          <w:sz w:val="24"/>
          <w:szCs w:val="24"/>
        </w:rPr>
      </w:pPr>
      <w:r>
        <w:rPr>
          <w:color w:val="262626"/>
        </w:rPr>
        <w:t>В</w:t>
      </w:r>
      <w:r>
        <w:rPr>
          <w:color w:val="262626"/>
        </w:rPr>
        <w:t xml:space="preserve"> рамках образовательной программы участники розничного рынка смогут узнать портрет покупателя FMCG рынка Новосибирска, ключевые паттерны покупательского поведения в различных товарных категориях, а также отличается ли покупательское поведение в каналах тор</w:t>
      </w:r>
      <w:r>
        <w:rPr>
          <w:color w:val="262626"/>
        </w:rPr>
        <w:t>говли, в том числе офлайн и онлайн-ритейле.</w:t>
      </w:r>
    </w:p>
    <w:p w:rsidR="005B756B" w:rsidRDefault="00E07BE0">
      <w:pPr>
        <w:keepNext/>
        <w:shd w:val="clear" w:color="auto" w:fill="FFFFFF"/>
        <w:ind w:firstLine="709"/>
        <w:jc w:val="both"/>
        <w:rPr>
          <w:color w:val="262626"/>
          <w:sz w:val="24"/>
          <w:szCs w:val="24"/>
        </w:rPr>
      </w:pPr>
      <w:r>
        <w:rPr>
          <w:color w:val="262626"/>
        </w:rPr>
        <w:t>Экспертами выступят представители розничных торговых сетей (X5, Магнит, Лента, Ашан, Калина-малина, Жизнь Март  и другие), крупнейшие производители Сибири, небольшие крафтовые производства, представители маркетпл</w:t>
      </w:r>
      <w:r>
        <w:rPr>
          <w:color w:val="262626"/>
        </w:rPr>
        <w:t>ейсов и цифровых платформ.</w:t>
      </w:r>
    </w:p>
    <w:p w:rsidR="005B756B" w:rsidRDefault="00E07BE0">
      <w:pPr>
        <w:keepNext/>
        <w:shd w:val="clear" w:color="auto" w:fill="FFFFFF"/>
        <w:ind w:firstLine="709"/>
        <w:jc w:val="both"/>
        <w:rPr>
          <w:color w:val="262626"/>
          <w:sz w:val="24"/>
          <w:szCs w:val="24"/>
        </w:rPr>
      </w:pPr>
      <w:r>
        <w:t>Обучение для региональных производителей бесплатное.</w:t>
      </w:r>
    </w:p>
    <w:p w:rsidR="005B756B" w:rsidRDefault="00E07BE0">
      <w:pPr>
        <w:shd w:val="clear" w:color="auto" w:fill="FFFFFF"/>
        <w:ind w:firstLine="709"/>
        <w:jc w:val="both"/>
        <w:rPr>
          <w:color w:val="262626"/>
          <w:sz w:val="24"/>
          <w:szCs w:val="24"/>
        </w:rPr>
      </w:pPr>
      <w:r>
        <w:rPr>
          <w:color w:val="262626"/>
        </w:rPr>
        <w:t>Контактное лицо – Анна Прибылова, +79139396340</w:t>
      </w:r>
    </w:p>
    <w:p w:rsidR="005B756B" w:rsidRDefault="00E07BE0">
      <w:pPr>
        <w:ind w:firstLine="709"/>
      </w:pPr>
      <w:r>
        <w:t xml:space="preserve">Регистрация на обучающую программу </w:t>
      </w:r>
      <w:r>
        <w:rPr>
          <w:b/>
          <w:color w:val="1C1C1C"/>
        </w:rPr>
        <w:t xml:space="preserve">«Бренды Новосибирской области: стратегия продвижения 2025» </w:t>
      </w:r>
      <w:r>
        <w:t xml:space="preserve">и ее программа доступна по ссылке </w:t>
      </w:r>
      <w:hyperlink r:id="rId7" w:tooltip="https://mbnso.ru/projects/obuchayushchie-programmy/vov_praktikoorientirovannaya-obuchayushchaya-programma-dlya-mestnykh-tovaroproizvoditeley-brendy-novosib/" w:history="1">
        <w:r>
          <w:rPr>
            <w:color w:val="1155CC"/>
            <w:u w:val="single"/>
          </w:rPr>
          <w:t>https://mbnso.ru/projects/obuchayushchie-programmy/vov_praktikoorientirovannaya-obuchayushchaya-programma-dlya-mestnykh-tovaroproizvoditeley-brendy-novosib/</w:t>
        </w:r>
      </w:hyperlink>
      <w:r>
        <w:t>.</w:t>
      </w:r>
    </w:p>
    <w:p w:rsidR="005B756B" w:rsidRDefault="005B756B">
      <w:pPr>
        <w:tabs>
          <w:tab w:val="left" w:pos="0"/>
        </w:tabs>
        <w:ind w:right="140" w:firstLine="709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p w:rsidR="005B756B" w:rsidRDefault="005B756B">
      <w:pPr>
        <w:tabs>
          <w:tab w:val="left" w:pos="0"/>
        </w:tabs>
        <w:ind w:right="140"/>
        <w:jc w:val="both"/>
      </w:pPr>
    </w:p>
    <w:sectPr w:rsidR="005B756B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E0" w:rsidRDefault="00E07BE0">
      <w:r>
        <w:separator/>
      </w:r>
    </w:p>
  </w:endnote>
  <w:endnote w:type="continuationSeparator" w:id="0">
    <w:p w:rsidR="00E07BE0" w:rsidRDefault="00E0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E0" w:rsidRDefault="00E07BE0">
      <w:r>
        <w:separator/>
      </w:r>
    </w:p>
  </w:footnote>
  <w:footnote w:type="continuationSeparator" w:id="0">
    <w:p w:rsidR="00E07BE0" w:rsidRDefault="00E0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0823"/>
    <w:multiLevelType w:val="hybridMultilevel"/>
    <w:tmpl w:val="ABE870A0"/>
    <w:lvl w:ilvl="0" w:tplc="0CD6C408">
      <w:start w:val="1"/>
      <w:numFmt w:val="decimal"/>
      <w:lvlText w:val="%1."/>
      <w:lvlJc w:val="left"/>
      <w:pPr>
        <w:ind w:left="1069" w:hanging="360"/>
      </w:pPr>
    </w:lvl>
    <w:lvl w:ilvl="1" w:tplc="EFE49F24">
      <w:start w:val="1"/>
      <w:numFmt w:val="lowerLetter"/>
      <w:lvlText w:val="%2."/>
      <w:lvlJc w:val="left"/>
      <w:pPr>
        <w:ind w:left="1789" w:hanging="360"/>
      </w:pPr>
    </w:lvl>
    <w:lvl w:ilvl="2" w:tplc="D09CA996">
      <w:start w:val="1"/>
      <w:numFmt w:val="lowerRoman"/>
      <w:lvlText w:val="%3."/>
      <w:lvlJc w:val="right"/>
      <w:pPr>
        <w:ind w:left="2509" w:hanging="180"/>
      </w:pPr>
    </w:lvl>
    <w:lvl w:ilvl="3" w:tplc="6398145C">
      <w:start w:val="1"/>
      <w:numFmt w:val="decimal"/>
      <w:lvlText w:val="%4."/>
      <w:lvlJc w:val="left"/>
      <w:pPr>
        <w:ind w:left="3229" w:hanging="360"/>
      </w:pPr>
    </w:lvl>
    <w:lvl w:ilvl="4" w:tplc="5AE804FE">
      <w:start w:val="1"/>
      <w:numFmt w:val="lowerLetter"/>
      <w:lvlText w:val="%5."/>
      <w:lvlJc w:val="left"/>
      <w:pPr>
        <w:ind w:left="3949" w:hanging="360"/>
      </w:pPr>
    </w:lvl>
    <w:lvl w:ilvl="5" w:tplc="CAE8B2D8">
      <w:start w:val="1"/>
      <w:numFmt w:val="lowerRoman"/>
      <w:lvlText w:val="%6."/>
      <w:lvlJc w:val="right"/>
      <w:pPr>
        <w:ind w:left="4669" w:hanging="180"/>
      </w:pPr>
    </w:lvl>
    <w:lvl w:ilvl="6" w:tplc="752C8954">
      <w:start w:val="1"/>
      <w:numFmt w:val="decimal"/>
      <w:lvlText w:val="%7."/>
      <w:lvlJc w:val="left"/>
      <w:pPr>
        <w:ind w:left="5389" w:hanging="360"/>
      </w:pPr>
    </w:lvl>
    <w:lvl w:ilvl="7" w:tplc="DA36EDC6">
      <w:start w:val="1"/>
      <w:numFmt w:val="lowerLetter"/>
      <w:lvlText w:val="%8."/>
      <w:lvlJc w:val="left"/>
      <w:pPr>
        <w:ind w:left="6109" w:hanging="360"/>
      </w:pPr>
    </w:lvl>
    <w:lvl w:ilvl="8" w:tplc="72FA7C1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C7929"/>
    <w:multiLevelType w:val="hybridMultilevel"/>
    <w:tmpl w:val="C68EECBC"/>
    <w:lvl w:ilvl="0" w:tplc="95A432C6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5948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2047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924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2E57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8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1AF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C21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D0ED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DE96DCA"/>
    <w:multiLevelType w:val="hybridMultilevel"/>
    <w:tmpl w:val="7896B0D6"/>
    <w:lvl w:ilvl="0" w:tplc="71F661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FE88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40F8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A8B7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5C4F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9AE4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5A78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166F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009B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56B"/>
    <w:rsid w:val="005B756B"/>
    <w:rsid w:val="008F1C08"/>
    <w:rsid w:val="00E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3523E-0369-41B2-9D73-7A8BADAC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аголовок 1"/>
    <w:basedOn w:val="a"/>
    <w:next w:val="a"/>
    <w:pPr>
      <w:keepNext/>
      <w:jc w:val="both"/>
      <w:outlineLvl w:val="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sz w:val="18"/>
      <w:szCs w:val="18"/>
    </w:rPr>
  </w:style>
  <w:style w:type="paragraph" w:styleId="35">
    <w:name w:val="Body Text Indent 3"/>
    <w:basedOn w:val="a"/>
    <w:link w:val="36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rPr>
      <w:rFonts w:ascii="Times New Roman" w:eastAsia="Times New Roman" w:hAnsi="Times New Roman"/>
      <w:sz w:val="16"/>
      <w:szCs w:val="16"/>
    </w:rPr>
  </w:style>
  <w:style w:type="paragraph" w:customStyle="1" w:styleId="---">
    <w:name w:val="---"/>
    <w:basedOn w:val="a"/>
    <w:pPr>
      <w:numPr>
        <w:numId w:val="1"/>
      </w:numPr>
    </w:pPr>
    <w:rPr>
      <w:sz w:val="24"/>
      <w:szCs w:val="20"/>
    </w:rPr>
  </w:style>
  <w:style w:type="character" w:customStyle="1" w:styleId="af3">
    <w:name w:val="Текст сноски Знак"/>
    <w:link w:val="af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nso.ru/projects/obuchayushchie-programmy/vov_praktikoorientirovannaya-obuchayushchaya-programma-dlya-mestnykh-tovaroproizvoditeley-brendy-novosi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1858</Characters>
  <Application>Microsoft Office Word</Application>
  <DocSecurity>0</DocSecurity>
  <Lines>15</Lines>
  <Paragraphs>4</Paragraphs>
  <ScaleCrop>false</ScaleCrop>
  <Company>АГНОиПНО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Пользователь</cp:lastModifiedBy>
  <cp:revision>24</cp:revision>
  <dcterms:created xsi:type="dcterms:W3CDTF">2021-07-05T09:50:00Z</dcterms:created>
  <dcterms:modified xsi:type="dcterms:W3CDTF">2024-12-06T07:33:00Z</dcterms:modified>
  <cp:version>917504</cp:version>
</cp:coreProperties>
</file>